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342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34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342C2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Pr="00B3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01.04.2020 </w:t>
      </w:r>
      <w:r w:rsidRPr="00B342C2">
        <w:rPr>
          <w:rFonts w:ascii="Times New Roman" w:hAnsi="Times New Roman" w:cs="Times New Roman"/>
          <w:sz w:val="28"/>
          <w:szCs w:val="28"/>
        </w:rPr>
        <w:t>№ 1</w:t>
      </w:r>
      <w:r w:rsidRPr="00B3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59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> 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>Состав инвентаризационной комиссии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> 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инвентаризационную комиссию в следующем составе: 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5324"/>
      </w:tblGrid>
      <w:tr w:rsidR="00B342C2" w:rsidRPr="00B342C2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Главный врач</w:t>
            </w:r>
            <w:r w:rsidRPr="00B3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2C2" w:rsidRPr="00B342C2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</w:tr>
      <w:tr w:rsidR="00B342C2" w:rsidRPr="00B342C2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Заместитель главного бухгалтера</w:t>
            </w:r>
            <w:r w:rsidRPr="00B342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342C2" w:rsidRPr="00B342C2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2C2" w:rsidRPr="00B342C2" w:rsidRDefault="00B342C2" w:rsidP="00B3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Экономист</w:t>
            </w:r>
          </w:p>
        </w:tc>
      </w:tr>
    </w:tbl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C2" w:rsidRPr="00B342C2" w:rsidRDefault="00B342C2" w:rsidP="00B342C2">
      <w:pPr>
        <w:rPr>
          <w:rFonts w:ascii="Times New Roman" w:hAnsi="Times New Roman" w:cs="Times New Roman"/>
          <w:sz w:val="28"/>
          <w:szCs w:val="28"/>
        </w:rPr>
      </w:pPr>
      <w:r w:rsidRPr="00B342C2">
        <w:rPr>
          <w:rFonts w:ascii="Times New Roman" w:hAnsi="Times New Roman" w:cs="Times New Roman"/>
          <w:sz w:val="28"/>
          <w:szCs w:val="28"/>
        </w:rPr>
        <w:t>2. Возложить на постоянно действующую инвента</w:t>
      </w:r>
      <w:r>
        <w:rPr>
          <w:rFonts w:ascii="Times New Roman" w:hAnsi="Times New Roman" w:cs="Times New Roman"/>
          <w:sz w:val="28"/>
          <w:szCs w:val="28"/>
        </w:rPr>
        <w:t>ризационную комиссию следующие обязанности, согласно приложения 44/а.</w:t>
      </w:r>
    </w:p>
    <w:p w:rsidR="00D152CE" w:rsidRDefault="00D152CE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/>
    <w:p w:rsidR="00B342C2" w:rsidRDefault="00B342C2" w:rsidP="00A435A0">
      <w:bookmarkStart w:id="0" w:name="_GoBack"/>
      <w:bookmarkEnd w:id="0"/>
    </w:p>
    <w:p w:rsidR="00B342C2" w:rsidRPr="00D54473" w:rsidRDefault="00B342C2" w:rsidP="00A435A0"/>
    <w:p w:rsidR="00D152CE" w:rsidRPr="005A7212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5A721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5A7212" w:rsidRPr="005A7212">
        <w:rPr>
          <w:rFonts w:ascii="Times New Roman" w:hAnsi="Times New Roman" w:cs="Times New Roman"/>
          <w:sz w:val="24"/>
        </w:rPr>
        <w:t>4</w:t>
      </w:r>
      <w:r w:rsidR="00F52502">
        <w:rPr>
          <w:rFonts w:ascii="Times New Roman" w:hAnsi="Times New Roman" w:cs="Times New Roman"/>
          <w:sz w:val="24"/>
        </w:rPr>
        <w:t>4</w:t>
      </w:r>
      <w:r w:rsidR="00B342C2">
        <w:rPr>
          <w:rFonts w:ascii="Times New Roman" w:hAnsi="Times New Roman" w:cs="Times New Roman"/>
          <w:sz w:val="24"/>
        </w:rPr>
        <w:t>/а</w:t>
      </w:r>
      <w:r w:rsidRPr="005A7212">
        <w:rPr>
          <w:rFonts w:ascii="Times New Roman" w:hAnsi="Times New Roman" w:cs="Times New Roman"/>
          <w:sz w:val="24"/>
        </w:rPr>
        <w:br/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D54473">
        <w:rPr>
          <w:szCs w:val="20"/>
        </w:rPr>
        <w:t> </w:t>
      </w:r>
    </w:p>
    <w:p w:rsidR="00D152C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1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инвентаризации активов и обязательств</w:t>
      </w:r>
    </w:p>
    <w:p w:rsidR="00C95BF8" w:rsidRPr="005A7212" w:rsidRDefault="00C95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D54473">
        <w:rPr>
          <w:szCs w:val="20"/>
        </w:rPr>
        <w:t> 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E335A5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Законом от 06.12.2011 № 402-ФЗ «О бухгалтерском учете»</w:t>
      </w:r>
      <w:r w:rsidRPr="005A7212">
        <w:rPr>
          <w:rFonts w:ascii="Times New Roman" w:hAnsi="Times New Roman" w:cs="Times New Roman"/>
          <w:sz w:val="28"/>
          <w:szCs w:val="28"/>
        </w:rPr>
        <w:t>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B15A71" w:rsidRPr="005A7212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D8470C" w:rsidRPr="005A7212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D8470C" w:rsidRPr="005A7212">
        <w:rPr>
          <w:rFonts w:ascii="Times New Roman" w:hAnsi="Times New Roman" w:cs="Times New Roman"/>
          <w:sz w:val="28"/>
          <w:szCs w:val="28"/>
        </w:rPr>
        <w:t>и отчетности организаций государственного сектора»</w:t>
      </w:r>
      <w:r w:rsidR="00542038" w:rsidRPr="005A7212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5A7212">
        <w:rPr>
          <w:rFonts w:ascii="Times New Roman" w:hAnsi="Times New Roman" w:cs="Times New Roman"/>
          <w:sz w:val="28"/>
          <w:szCs w:val="28"/>
        </w:rPr>
        <w:t>ым</w:t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5A7212">
        <w:rPr>
          <w:rFonts w:ascii="Times New Roman" w:hAnsi="Times New Roman" w:cs="Times New Roman"/>
          <w:sz w:val="28"/>
          <w:szCs w:val="28"/>
        </w:rPr>
        <w:t>Минфина</w:t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 от 31</w:t>
      </w:r>
      <w:r w:rsidR="00BF78FA" w:rsidRPr="005A7212">
        <w:rPr>
          <w:rFonts w:ascii="Times New Roman" w:hAnsi="Times New Roman" w:cs="Times New Roman"/>
          <w:sz w:val="28"/>
          <w:szCs w:val="28"/>
        </w:rPr>
        <w:t>.12.</w:t>
      </w:r>
      <w:r w:rsidR="00542038" w:rsidRPr="005A7212">
        <w:rPr>
          <w:rFonts w:ascii="Times New Roman" w:hAnsi="Times New Roman" w:cs="Times New Roman"/>
          <w:sz w:val="28"/>
          <w:szCs w:val="28"/>
        </w:rPr>
        <w:t>2016 № 256н;</w:t>
      </w:r>
    </w:p>
    <w:p w:rsidR="008F4E8F" w:rsidRPr="005A7212" w:rsidRDefault="00E335A5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212">
        <w:rPr>
          <w:rFonts w:ascii="Times New Roman" w:hAnsi="Times New Roman" w:cs="Times New Roman"/>
          <w:sz w:val="28"/>
          <w:szCs w:val="28"/>
        </w:rPr>
        <w:t>– Федеральным стандартом «Доходы</w:t>
      </w:r>
      <w:r w:rsidR="00C60B19" w:rsidRPr="005A7212">
        <w:rPr>
          <w:rFonts w:ascii="Times New Roman" w:hAnsi="Times New Roman" w:cs="Times New Roman"/>
          <w:sz w:val="28"/>
          <w:szCs w:val="28"/>
        </w:rPr>
        <w:t>»</w:t>
      </w:r>
      <w:r w:rsidRPr="005A721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60B19" w:rsidRPr="005A7212">
        <w:rPr>
          <w:rFonts w:ascii="Times New Roman" w:hAnsi="Times New Roman" w:cs="Times New Roman"/>
          <w:sz w:val="28"/>
          <w:szCs w:val="28"/>
        </w:rPr>
        <w:t>приказом Минфина</w:t>
      </w:r>
      <w:r w:rsidR="00C95BF8">
        <w:rPr>
          <w:rFonts w:ascii="Times New Roman" w:hAnsi="Times New Roman" w:cs="Times New Roman"/>
          <w:sz w:val="28"/>
          <w:szCs w:val="28"/>
        </w:rPr>
        <w:t xml:space="preserve"> РФ</w:t>
      </w:r>
      <w:r w:rsidR="00C60B19"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32н;</w:t>
      </w:r>
    </w:p>
    <w:p w:rsidR="005A7212" w:rsidRDefault="008F4E8F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A7212">
        <w:rPr>
          <w:rFonts w:ascii="Times New Roman" w:hAnsi="Times New Roman" w:cs="Times New Roman"/>
          <w:sz w:val="28"/>
          <w:szCs w:val="28"/>
        </w:rPr>
        <w:t>Федеральным стандартом «Учетная политика</w:t>
      </w:r>
      <w:r w:rsidR="002E1CDF" w:rsidRPr="005A7212">
        <w:rPr>
          <w:rFonts w:ascii="Times New Roman" w:hAnsi="Times New Roman" w:cs="Times New Roman"/>
          <w:sz w:val="28"/>
          <w:szCs w:val="28"/>
        </w:rPr>
        <w:t xml:space="preserve">, оценочные значения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2E1CDF" w:rsidRPr="005A7212">
        <w:rPr>
          <w:rFonts w:ascii="Times New Roman" w:hAnsi="Times New Roman" w:cs="Times New Roman"/>
          <w:sz w:val="28"/>
          <w:szCs w:val="28"/>
        </w:rPr>
        <w:t>и ошибки</w:t>
      </w:r>
      <w:r w:rsidRPr="005A7212">
        <w:rPr>
          <w:rFonts w:ascii="Times New Roman" w:hAnsi="Times New Roman" w:cs="Times New Roman"/>
          <w:sz w:val="28"/>
          <w:szCs w:val="28"/>
        </w:rPr>
        <w:t>», утвержденным приказом Минфина</w:t>
      </w: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30.12.2017 </w:t>
      </w:r>
      <w:r w:rsidRPr="005A7212">
        <w:rPr>
          <w:rFonts w:ascii="Times New Roman" w:hAnsi="Times New Roman" w:cs="Times New Roman"/>
          <w:sz w:val="28"/>
          <w:szCs w:val="28"/>
        </w:rPr>
        <w:t>№ 274н</w:t>
      </w:r>
      <w:r w:rsidR="00FF6D2B" w:rsidRPr="005A7212">
        <w:rPr>
          <w:rFonts w:ascii="Times New Roman" w:hAnsi="Times New Roman" w:cs="Times New Roman"/>
          <w:sz w:val="28"/>
          <w:szCs w:val="28"/>
        </w:rPr>
        <w:t>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="004E37C9"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указанием ЦБ от 11.03.2014 № 3210-У «О порядке ведения кассовых операций юридическими лицами...»</w:t>
      </w:r>
      <w:r w:rsidR="004E37C9" w:rsidRPr="005A7212">
        <w:rPr>
          <w:rFonts w:ascii="Times New Roman" w:hAnsi="Times New Roman" w:cs="Times New Roman"/>
          <w:sz w:val="28"/>
          <w:szCs w:val="28"/>
        </w:rPr>
        <w:t>;</w:t>
      </w:r>
    </w:p>
    <w:p w:rsidR="00D152CE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Pr="005A7212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5A7212">
        <w:rPr>
          <w:rFonts w:ascii="Times New Roman" w:hAnsi="Times New Roman" w:cs="Times New Roman"/>
          <w:sz w:val="28"/>
          <w:szCs w:val="28"/>
        </w:rPr>
        <w:t>Минфина</w:t>
      </w:r>
      <w:r w:rsidRPr="005A7212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5A7212">
        <w:rPr>
          <w:rFonts w:ascii="Times New Roman" w:hAnsi="Times New Roman" w:cs="Times New Roman"/>
          <w:sz w:val="28"/>
          <w:szCs w:val="28"/>
        </w:rPr>
        <w:t>.03.</w:t>
      </w:r>
      <w:r w:rsidRPr="005A7212">
        <w:rPr>
          <w:rFonts w:ascii="Times New Roman" w:hAnsi="Times New Roman" w:cs="Times New Roman"/>
          <w:sz w:val="28"/>
          <w:szCs w:val="28"/>
        </w:rPr>
        <w:t>2015</w:t>
      </w:r>
      <w:r w:rsidR="006C30EF" w:rsidRPr="005A7212">
        <w:rPr>
          <w:rFonts w:ascii="Times New Roman" w:hAnsi="Times New Roman" w:cs="Times New Roman"/>
          <w:sz w:val="28"/>
          <w:szCs w:val="28"/>
        </w:rPr>
        <w:t> № </w:t>
      </w:r>
      <w:r w:rsidRPr="005A7212">
        <w:rPr>
          <w:rFonts w:ascii="Times New Roman" w:hAnsi="Times New Roman" w:cs="Times New Roman"/>
          <w:sz w:val="28"/>
          <w:szCs w:val="28"/>
        </w:rPr>
        <w:t>52н;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Pr="005A721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BF78FA" w:rsidRPr="005A7212">
        <w:rPr>
          <w:rFonts w:ascii="Times New Roman" w:hAnsi="Times New Roman" w:cs="Times New Roman"/>
          <w:sz w:val="28"/>
          <w:szCs w:val="28"/>
        </w:rPr>
        <w:t>.09.</w:t>
      </w:r>
      <w:r w:rsidRPr="005A7212">
        <w:rPr>
          <w:rFonts w:ascii="Times New Roman" w:hAnsi="Times New Roman" w:cs="Times New Roman"/>
          <w:sz w:val="28"/>
          <w:szCs w:val="28"/>
        </w:rPr>
        <w:t>2000</w:t>
      </w:r>
      <w:r w:rsidR="00BF78FA"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5A7212">
        <w:rPr>
          <w:rFonts w:ascii="Times New Roman" w:hAnsi="Times New Roman" w:cs="Times New Roman"/>
          <w:sz w:val="28"/>
          <w:szCs w:val="28"/>
        </w:rPr>
        <w:t>№ </w:t>
      </w:r>
      <w:r w:rsidRPr="005A7212">
        <w:rPr>
          <w:rFonts w:ascii="Times New Roman" w:hAnsi="Times New Roman" w:cs="Times New Roman"/>
          <w:sz w:val="28"/>
          <w:szCs w:val="28"/>
        </w:rPr>
        <w:t>731</w:t>
      </w:r>
      <w:r w:rsidR="005A7212">
        <w:rPr>
          <w:rFonts w:ascii="Times New Roman" w:hAnsi="Times New Roman" w:cs="Times New Roman"/>
          <w:sz w:val="28"/>
          <w:szCs w:val="28"/>
        </w:rPr>
        <w:t>;</w:t>
      </w:r>
    </w:p>
    <w:p w:rsidR="005A7212" w:rsidRPr="005A7212" w:rsidRDefault="005A7212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eastAsia="Calibri" w:hAnsi="Times New Roman" w:cs="Times New Roman"/>
          <w:sz w:val="28"/>
          <w:szCs w:val="28"/>
          <w:lang w:eastAsia="en-US"/>
        </w:rPr>
        <w:t>- Указания Банка России от 11.03.2014 N 3210-У.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5A7212">
        <w:rPr>
          <w:rFonts w:ascii="Times New Roman" w:hAnsi="Times New Roman" w:cs="Times New Roman"/>
          <w:sz w:val="28"/>
          <w:szCs w:val="28"/>
        </w:rPr>
        <w:t> 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проведения инвентаризации имущества,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финансовых активов и обязательств учреждения, в том числе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счетах,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1.2. Инвентаризации подлежит все имущество учреждения независимо от его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местонахождения и все виды финансовых активов и обязательств учреждения. Также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подлежит имущество, находящееся на ответственном хранении 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Инвентаризацию имущества, переданного в аренду (безвозмездное пользование),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проводит арендатор (ссудополучатель).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Инвентаризация имущества производится по его местонахождению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разрезе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ответственных (материально ответственных) лиц, далее – ответственные лица.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1.3. Цель инвентаризации – обеспечить достоверность данных учета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отчетности.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1.4. Проведение инвентаризации обязательно: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перед составлением годовой отчетности (кроме имущества, инвентаризация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которого проводилась не ранее 1 октября отчетного года);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(немедленно по установлении таких фактов);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экстремальными условиями (сразу же по окончании пожара или стихийного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бедствия);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коллективной или бригадной материальной ответственности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инвентаризацию необходимо проводить: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смене руководителя коллектива или бригадира;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выбытии из коллектива или бригады более 50 процентов работников;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или бригады.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12">
        <w:rPr>
          <w:rFonts w:ascii="Times New Roman" w:hAnsi="Times New Roman" w:cs="Times New Roman"/>
          <w:b/>
          <w:sz w:val="28"/>
          <w:szCs w:val="28"/>
        </w:rPr>
        <w:t>2. Общий порядок и сроки проведения инвентаризации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2.1. Для проведения инвентаризации в учреждении создается постоянно действующая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инвентаризационная комиссия.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создаются рабочие инвентаризационные комиссии. Персональный состав постоянно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действующих и рабочих инвентаризационных комиссий утверждает руководитель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представителей администрации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учреждения, сотрудников бухгалтерии, других специалистов.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2.2. Инвентаризационная комиссия выполняет следующие функции: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материальных запасов, денежных средств;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определение состояния имущества и его назначения;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документации на активы и обязательства;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 xml:space="preserve">выявление дебиторской задолженности, безнадежной к взысканию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CF0101" w:rsidRPr="005A7212">
        <w:rPr>
          <w:rFonts w:ascii="Times New Roman" w:hAnsi="Times New Roman" w:cs="Times New Roman"/>
          <w:sz w:val="28"/>
          <w:szCs w:val="28"/>
        </w:rPr>
        <w:t>и сомнительной, подготовка предложений о списании такой задолженности;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оформление протоколов заседания инвентаризационной комиссии;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2.3. Инвентаризации подлежит </w:t>
      </w:r>
      <w:r w:rsidR="00E0673E">
        <w:rPr>
          <w:rFonts w:ascii="Times New Roman" w:hAnsi="Times New Roman" w:cs="Times New Roman"/>
          <w:sz w:val="28"/>
          <w:szCs w:val="28"/>
        </w:rPr>
        <w:t xml:space="preserve">все </w:t>
      </w:r>
      <w:r w:rsidRPr="005A7212">
        <w:rPr>
          <w:rFonts w:ascii="Times New Roman" w:hAnsi="Times New Roman" w:cs="Times New Roman"/>
          <w:sz w:val="28"/>
          <w:szCs w:val="28"/>
        </w:rPr>
        <w:t xml:space="preserve">имущество учреждения, вложения в него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на счете 106.00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«Вложения в нефинансовые активы», а также следующие финансовые активы,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обязательства и финансовые результаты: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денежные средства – счет Х.201.00.000;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доходам – счет Х.205.00.000;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выданным авансам – счет Х.206.00.000;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с подотчетными лицами – счет Х.208.00.000;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ущербу имуществу и иным доходам – счет Х.209.00.000;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принятым обязательствам – счет Х.302.00.000;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платежам в бюджеты – счет Х.303.00.000;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прочие расчеты с кредиторами – счет Х.304.00.000;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с кредиторами по долговым обязательствам – счет Х.301.00.000;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доходы будущих периодов – счет Х.401.40.000;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расходы будущих периодов – счет Х.401.50.000;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резервы предстоящих расходов – счет Х.401.60.000.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2.4. Сроки проведения плановых инвентаризаций установлены в Графике проведения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Кроме плановых инвентаризаций, учреждение может проводить внеплановые сплошные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товарно-материальных ценностей. Внеплановые инвентаризации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проводятся на основании приказа руководителя.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2.5. До начала проверки фактического наличия имущества инвентаризационной комиссии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надлежит получить приходные и расходные документы или отчеты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о движении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ценностей и денежных средств, не сданные и не учтенные бухгалтерией на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момент проведения инвентаризации.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расходные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документы, приложенные к реестрам (отчетам), с указанием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«до инвентаризации на "___"»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(дата). Это служит основанием для определения остатков имущества к началу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по учетным данным.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2.6. Ответственные лица дают расписки о том, что к началу инвентаризации все расходные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 приходные документы на имущество сданы в бухгалтерию или переданы комиссии и все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ценности, поступившие на их ответственность, оприходованы, а выбывшие – списаны в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расход. Аналогичные расписки дают сотрудники, имеющие подотчетные суммы на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приобретение или доверенности на получение имущества.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2.7. Фактическое наличие имущества при инвентаризации определяют путем обязательного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подсчета, взвешивания, обмера.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2.8. Проверка фактического наличия имущества производится при обязательном участии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2.9. Для оформления инвентаризации комиссия применяет следующие формы,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утвержденные приказом Минфина от 30.03.2015 № 52н: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инвентаризационная опись остатков на счетах учета денежных средств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0504082);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>– инвентаризационная опись (сличительная ведомость) бланков строгой отчетности 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денежных документов (ф. 0504086);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(ф. 0504087). По объектам, переданным в аренду, безвозмездное пользование, а также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полученным в аренду, безвозмездное пользование и по другим основаниям, составляются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отдельные описи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наличных денежных средств (ф. 0504088);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инвентаризационная опись расчетов с покупателями, поставщиками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прочими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дебиторами и кредиторами (ф. 0504089);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расчетов по поступлениям (ф. 0504091);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ведомость расхождений по результатам инвентаризации (ф. 0504092);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акт о результатах инвентаризации (ф. 0504835);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задолженности по кредитам, займам (ссудам)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(ф. 0504083);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ценных бумаг (ф. 0504081).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Формы заполняют в порядке, установленном Методическими указаниями, утвержденными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приказом Минфина от 30.03.2015 № 52н.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Для результатов инвентаризации расходов будущих периодов применяется акт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расходов будущих периодов № ИНВ-11 (ф. 0317012), утвержденный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приказом Минфина от 13.06.1995 № 49.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2.10. Инвентаризационная комиссия обеспечивает полноту и точность внесения в описи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данных о фактических остатках основных средств, нематериальных активов, материальных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запасов и другого имущества, денежных средств, финансовых активов и обязательств,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правильность и своевременность оформления материалов инвентаризации. Также комиссия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обеспечивает внесение в описи обнаруженных признаков обесценения актива.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2.11. Если инвентаризация проводится в течение нескольких дней,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то помещения, где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хранятся материальные ценности, при уходе инвентаризационной комиссии должны быть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опечатаны. Во время перерывов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работе инвентаризационных комиссий (в обеденный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перерыв, в ночное время, по другим причинам) описи должны храниться в ящике (шкафу,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сейфе)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закрытом помещении, где проводится инвентаризация.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2.12. Если ответственные лица обнаружат после инвентаризации ошибки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описях, они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должны немедленно (до открытия склада, кладовой, секции и т. п.) заявить об этом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председателю инвентаризационной комиссии.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Инвентаризационная комиссия осуществляет проверку указанных фактов и в случае их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подтверждения производит исправление выявленных ошибок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F33B54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54">
        <w:rPr>
          <w:rFonts w:ascii="Times New Roman" w:hAnsi="Times New Roman" w:cs="Times New Roman"/>
          <w:b/>
          <w:sz w:val="28"/>
          <w:szCs w:val="28"/>
        </w:rPr>
        <w:t>3. Особенности инвентаризации отдельных видов имущества, финансовых активов,</w:t>
      </w:r>
      <w:r w:rsidR="00F33B54" w:rsidRPr="00F3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B54">
        <w:rPr>
          <w:rFonts w:ascii="Times New Roman" w:hAnsi="Times New Roman" w:cs="Times New Roman"/>
          <w:b/>
          <w:sz w:val="28"/>
          <w:szCs w:val="28"/>
        </w:rPr>
        <w:t>обязательств и финансовых результатов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3.1. Инвентаризация основных средств проводится один раз в год перед составлением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годовой бухгалтерской отчетности. Исключение – объекты </w:t>
      </w:r>
      <w:r w:rsidRPr="005A7212">
        <w:rPr>
          <w:rFonts w:ascii="Times New Roman" w:hAnsi="Times New Roman" w:cs="Times New Roman"/>
          <w:sz w:val="28"/>
          <w:szCs w:val="28"/>
        </w:rPr>
        <w:lastRenderedPageBreak/>
        <w:t>библиотечного фонда,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сроки и порядок инвентаризации которых изложены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пункте 3.2 настоящего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Положения.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подлежат основные средства на балансовых счетах 101.00 «Основные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средства», а также имущество на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счетах 01 «Имущество, полученное в пользование», 02 «Материальные ценности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на хранении».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Основные средства, которые временно отсутствуют (находятся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у подрядчика на ремонте, у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сотрудников в командировке и т. д.), инвентаризируются по документам и регистрам до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момента выбытия.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есть ли инвентарные карточки, книги и описи на основные средства, как они заполнены;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состояние техпаспортов и других технических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документы о государственной регистрации объектов;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документы на основные средства, которые приняли или сдали на хранение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аренду.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отсутствии документов комиссия должна обеспечить их получение или оформление.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технической документации следует внести соответствующие исправления и уточнения.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Плановая инвентаризация основных средств, в том числе стоимостью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10 000 рублей, перед составлением годовой отчетности производится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конца отчетного года – с 01 октября до 31 декабря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основных средств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проверка: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фактического наличия объектов основных средств;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сохранности инвентарных номеров основных средств, нанесенных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на объект и их составные части, приспособления, принадлежности;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наличия и сохранности технической документации;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наличия и сохранности правоустанавливающей документации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(в предусмотренных случаях);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комплектности объектов;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правильности применения кодов ОКОФ, группировки по счетам учета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и установления норм амортизации.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зданий (помещений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)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правоустанавливающей документации;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технической документации на отдельные инженерные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коммунальные системы, входящие в состав здания: систему водопровода, 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канализации, отопления, электроснабжения, пожарную сигнализацию, охранную сигнализацию, систему видеонаблюдения и т.д.;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внешнее состояние конструктивных элементов здания, внешней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внутренней отделки, окон, дверей, узлов и компонент инженерных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компьютерной техники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серийные номера составных частей и комплектующих;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компонент системных блоков;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правоустанавливающих документов на используемое программное обеспечение.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объектов автотранспорта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(самоходной техники)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и состояние приспособлений и принадлежностей;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исправность одометра;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исправность датчиков количества топлива;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данных одометра данным путевых листов.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оформления инвентаризации применяют формы, утвержденные Приказом N 52н: инвентаризационные описи (формы 0504081 - 0504089, 0504091) и ведомость расхождений по результатам инвентаризации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(ф. 0504092). Для каждого вида имущества оформляется своя форма инвентаризационной описи (сличительной ведомости).</w:t>
      </w:r>
    </w:p>
    <w:p w:rsidR="00CF0101" w:rsidRPr="005A7212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Данные об эксплуатации и физическом состоянии комиссия указывает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</w:t>
      </w:r>
      <w:r w:rsidR="00C95BF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инвентаризационной описи (ф. 0504087). Графы 8 и 9 инвентаризационной описи по НФА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12 – требуется ремонт;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13 – находится на консервации;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15 – требуется реконструкция;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17 – не введен в эксплуатацию.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12 – ремонт;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13 – консервация;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15 – реконструкция;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списание;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17 – утилизация.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3.2. Инвентаризация </w:t>
      </w:r>
      <w:r w:rsidRPr="00E0673E">
        <w:rPr>
          <w:rFonts w:ascii="Times New Roman" w:hAnsi="Times New Roman" w:cs="Times New Roman"/>
          <w:i/>
          <w:sz w:val="28"/>
          <w:szCs w:val="28"/>
        </w:rPr>
        <w:t>библиотечных фондов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проводится при смене руководителя</w:t>
      </w:r>
      <w:r w:rsidR="00E0673E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библиотеки, а также в следующие сроки: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наиболее ценные фонды, хранящиеся в сейфах, – ежегодно;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редчайшие и ценные фонды – один раз в три года;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остальные фонды – один раз в пять лет.</w:t>
      </w:r>
    </w:p>
    <w:p w:rsidR="00CF0101" w:rsidRPr="005A7212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инвентаризации библиотечного фонда комиссия проверяет книги путем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подсчета, электронные документы – по количественным показателям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</w:t>
      </w:r>
      <w:r w:rsidR="00C95BF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контрольным суммам.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3.3. По </w:t>
      </w:r>
      <w:r w:rsidRPr="00E0673E">
        <w:rPr>
          <w:rFonts w:ascii="Times New Roman" w:hAnsi="Times New Roman" w:cs="Times New Roman"/>
          <w:i/>
          <w:sz w:val="28"/>
          <w:szCs w:val="28"/>
        </w:rPr>
        <w:t>незавершенному капстроительству</w:t>
      </w:r>
      <w:r w:rsidRPr="005A7212">
        <w:rPr>
          <w:rFonts w:ascii="Times New Roman" w:hAnsi="Times New Roman" w:cs="Times New Roman"/>
          <w:sz w:val="28"/>
          <w:szCs w:val="28"/>
        </w:rPr>
        <w:t xml:space="preserve"> на счете 106.11 «Вложения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основные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средства – недвижимое имущество учреждения»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нет ли в составе оборудования, которое передали на стройку, но не начали монтировать;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состояние и причины законсервированных и временно приостановленных объектов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проверке используется техническая документация, акты сдачи выполненных работ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(этапов), журналы учета выполненных работ на объектах строительства и др.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заносятся в инвентаризационную опись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0504087). В описи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 каждому отдельному виду работ, конструктивным элементам и оборудованию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указывает наименование объекта и объем выполненных работ. В графах 8 и 9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инвентаризационной описи по НФА комиссия указывает ход реализации вложений 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соответствии с пунктом 75 Инструкции, утвержденной приказом Минфина от 25.03.2011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№ 33н.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3.4.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нематериальных активов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есть ли свидетельства, патенты и лицензионные договоры, которые подтверждают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исключительные права учреждения на активы;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учтены ли активы на балансе и нет ли ошибок в учете.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заносятся в инвентаризационную опись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17 – не введен в эксплуатацию.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списание.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3.5. Материальные запасы комиссия проверяет по каждому ответственному лицу и по местам хранения.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материальных запасов</w:t>
      </w:r>
      <w:r w:rsidRPr="005A7212">
        <w:rPr>
          <w:rFonts w:ascii="Times New Roman" w:hAnsi="Times New Roman" w:cs="Times New Roman"/>
          <w:sz w:val="28"/>
          <w:szCs w:val="28"/>
        </w:rPr>
        <w:t>, которых нет в учреждении (в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пути, отгруженные, не оплачены в срок,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lastRenderedPageBreak/>
        <w:t>на складах других организаций), проверяется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обоснованность сумм на соответствующих счетах бухучета.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запасы, которые: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находятся в учреждении и распределены по ответственным лицам;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находятся в пути. По каждой отправке в описи указывается наименование, количество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стоимость, дата отгрузки, а также перечень и номера учетных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отгружены и не оплачены вовремя покупателями. По каждой отгрузке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описи указывается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наименование покупателя и материальных запасов, сумма, дата отгрузки, дата выписки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номер расчетного документа;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переданы в переработку. В описи указывается наименование перерабатывающей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организации и материальных запасов, количество, фактическая стоимость по данным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бухучета, дата передачи, номера и даты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находятся на складах других организаций. В описи указывается наименование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организации и материальных запасов, количество и стоимость.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 xml:space="preserve">ГСМ </w:t>
      </w:r>
      <w:r w:rsidRPr="005A7212">
        <w:rPr>
          <w:rFonts w:ascii="Times New Roman" w:hAnsi="Times New Roman" w:cs="Times New Roman"/>
          <w:sz w:val="28"/>
          <w:szCs w:val="28"/>
        </w:rPr>
        <w:t>в описи (ф. 0504087) указываются: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остатки топлива в баках по каждому транспортному средству;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топливо, которое хранится в емкостях.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Остаток топлива в баках измеряется такими способами: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специальными измерителями или мерками;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путем слива или заправки до полного бака;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по показаниям бортового компьютера или стрелочного индикатора уровня топлива.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продуктов питания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пломбирует подсобные помещения, подвалы и другие места, где есть отдельные входы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выходы;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проверяет исправность весов и измерительных приборов и сроки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их клеймения.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0504087).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51 – в запасе для использования;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52 – в запасе для хранения;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53 – ненадлежащего качества;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54 – поврежден;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55 – истек срок хранения.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>51 – использовать;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52 – продолжить хранение;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53 – списать;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54 – отремонтировать.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3.6.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денежных средств на лицевых</w:t>
      </w:r>
      <w:r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E0673E">
        <w:rPr>
          <w:rFonts w:ascii="Times New Roman" w:hAnsi="Times New Roman" w:cs="Times New Roman"/>
          <w:i/>
          <w:sz w:val="28"/>
          <w:szCs w:val="28"/>
        </w:rPr>
        <w:t>счетах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сверяет остатки на счетах 201.11, 201.21, 201.22, 201.26, 201.27 с выписками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из лицевых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банковских счетов.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Если в бухучете числятся остатки по средствам в пути (счета 201.13, 201.23),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сверяет остатки с данными подтверждающих документов – банковскими квитанциями,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квитанциями почтового отделения, копиями сопроводительных ведомостей на сдачу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выручки инкассаторам, слипами (чеками платежных терминалов) и т. п.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0504082).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3.7. Проверку </w:t>
      </w:r>
      <w:r w:rsidRPr="00E0673E">
        <w:rPr>
          <w:rFonts w:ascii="Times New Roman" w:hAnsi="Times New Roman" w:cs="Times New Roman"/>
          <w:i/>
          <w:sz w:val="28"/>
          <w:szCs w:val="28"/>
        </w:rPr>
        <w:t>наличных денег в кассе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начинает с операционных касс, в которых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ведутся расчеты через контрольно-кассовую технику. Суммы наличных денег должны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соответствовать данным книги кассира-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, показателям на кассовой ленте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счетчиках кассового аппарата.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подлежат: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наличные деньги;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бланки строгой отчетности;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денежные документы;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ценные бумаги.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Инвентаризация наличных денежных средств, денежных документов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бланков строгой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отчетности производится путем полного (полистного) пересчета. При проверке бланков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строгой отчетности комиссия фиксирует начальные и конечные номера бланков.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ходе инвентаризации кассы комиссия: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проверяет кассовую книгу, отчеты кассира, приходные и расходные кассовые ордера,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журнал регистрации приходных и расходных кассовых ордеров, доверенности на получение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денег, реестр депонированных сумм и другие документы кассовой дисциплины;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сверяет суммы, оприходованные в кассу, с суммами, списанными с лицевого (расчетного)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счета;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поверяет соблюдение кассиром лимита остатка наличных денежных средств,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своевременность депонирования невыплаченных сумм зарплаты.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инвентаризационной описи (ф. 0504086).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3.8.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полученного в аренду имущества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инвентаризационной описи (ф. 0504087).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3.9. Инвентаризацию </w:t>
      </w:r>
      <w:r w:rsidRPr="00E0673E">
        <w:rPr>
          <w:rFonts w:ascii="Times New Roman" w:hAnsi="Times New Roman" w:cs="Times New Roman"/>
          <w:i/>
          <w:sz w:val="28"/>
          <w:szCs w:val="28"/>
        </w:rPr>
        <w:t>расчетов с дебиторами и кредиторами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проводит с учетом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следующих особенностей: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определяет сроки возникновения задолженности;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выявляет суммы невыплаченной зарплаты (депонированные суммы), а также переплаты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сотрудникам;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сверяет данные бухучета с суммами в актах сверки с покупателями (заказчиками) 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поставщиками (исполнителями, подрядчиками), а также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бюджетом и внебюджетными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фондами – по налогам и взносам;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проверяет обоснованность задолженности по недостачам, хищениям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ущербам;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выявляет кредиторскую задолженность, не востребованную кредиторами,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также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дебиторскую задолженность, безнадежную к взысканию и сомнительную в соответствии с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положением о задолженности.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0504089).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3.10.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расходов будущих периодов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суммы расходов из документов, подтверждающих расходы будущих периодов, – счетов,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актов, договоров, накладных;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соответствие периода учета расходов периоду, который установлен в учетной политике;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правильность сумм, списываемых на расходы текущего года.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3.11.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резервов предстоящих расходов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правильность их расчета и обоснованность создания.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количество дней неиспользованного отпуска;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среднедневная сумма расходов на оплату труда;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сумма отчислений на обязательное пенсионное, социальное, медицинское страхование 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 страхование от несчастных случаев и профзаболеваний.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3.12.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доходов будущих периодов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 правомерность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отнесения полученных доходов к доходам будущих периодов.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К доходам будущих периодов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относятся в том числе: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доходы от аренды;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суммы субсидии на финансовое обеспечение государственного задания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по соглашению,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которое подписано в текущем году на будущий год.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 инвентаризации, проводимой перед годовой отчетностью, проверяется обоснованность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наличия остатков.</w:t>
      </w:r>
    </w:p>
    <w:p w:rsidR="00CF0101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доходов будущих периодов</w:t>
      </w:r>
      <w:r w:rsidR="00585298">
        <w:rPr>
          <w:rFonts w:ascii="Times New Roman" w:hAnsi="Times New Roman" w:cs="Times New Roman"/>
          <w:sz w:val="28"/>
          <w:szCs w:val="28"/>
        </w:rPr>
        <w:t>.</w:t>
      </w:r>
    </w:p>
    <w:p w:rsidR="00CF0101" w:rsidRDefault="00585298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0101" w:rsidRPr="005A7212">
        <w:rPr>
          <w:rFonts w:ascii="Times New Roman" w:hAnsi="Times New Roman" w:cs="Times New Roman"/>
          <w:sz w:val="28"/>
          <w:szCs w:val="28"/>
        </w:rPr>
        <w:t>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приказом Минфина от 09.12.2016 № 231н.</w:t>
      </w:r>
    </w:p>
    <w:p w:rsidR="00AE7EFD" w:rsidRPr="00AE7EFD" w:rsidRDefault="002F2BF0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AE7EFD" w:rsidRPr="00AE7EFD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проводит документальную проверку состояния и обоснованности числящихся </w:t>
      </w:r>
      <w:r w:rsidR="00AE7EFD" w:rsidRPr="002F2BF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AE7EFD" w:rsidRPr="002F2BF0">
        <w:rPr>
          <w:rFonts w:ascii="Times New Roman" w:hAnsi="Times New Roman" w:cs="Times New Roman"/>
          <w:i/>
          <w:sz w:val="28"/>
          <w:szCs w:val="28"/>
        </w:rPr>
        <w:t>забалансовых</w:t>
      </w:r>
      <w:proofErr w:type="spellEnd"/>
      <w:r w:rsidR="00AE7EFD" w:rsidRPr="002F2BF0">
        <w:rPr>
          <w:rFonts w:ascii="Times New Roman" w:hAnsi="Times New Roman" w:cs="Times New Roman"/>
          <w:i/>
          <w:sz w:val="28"/>
          <w:szCs w:val="28"/>
        </w:rPr>
        <w:t xml:space="preserve"> счетах</w:t>
      </w:r>
      <w:r w:rsidR="00AE7EFD" w:rsidRPr="00AE7EFD">
        <w:rPr>
          <w:rFonts w:ascii="Times New Roman" w:hAnsi="Times New Roman" w:cs="Times New Roman"/>
          <w:sz w:val="28"/>
          <w:szCs w:val="28"/>
        </w:rPr>
        <w:t xml:space="preserve"> сумм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AE7EFD" w:rsidRPr="00AE7EFD">
        <w:rPr>
          <w:rFonts w:ascii="Times New Roman" w:hAnsi="Times New Roman" w:cs="Times New Roman"/>
          <w:sz w:val="28"/>
          <w:szCs w:val="28"/>
        </w:rPr>
        <w:t>и объектов. При проведении инвентаризации используются данные аналитического учета, первичные документы.</w:t>
      </w:r>
    </w:p>
    <w:p w:rsidR="00AE7EFD" w:rsidRPr="00AE7EFD" w:rsidRDefault="00AE7EFD" w:rsidP="002F2B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проводит проверку числящихся объектов учета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счетах: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01 «Имущество, полученное в пользование» – неисключительные права на программные продукты, объекты недвижимого имущества, переданные учреждению до момента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, земельные участки, не имеющие свидетельство государственной регистрации. Инвентаризационная комиссия определяет объекты неисключительных прав по которым истек срок действия лицензионного договора либо если срок не был установлен исходя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из рекомендуемого срока пять лет (п. 4 ст. 1235 ГК РФ). Целью инвентаризации является выявление объектов, необоснованно отнесенных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02 «Материальные ценности на хранении» – отражаются объекты,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не соответствующие критериям «актива» до момента списания имущества, либо восстановление на балансе.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 объектов.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03 «Бланки строгой отчетности» – инвентаризационная комиссия учитывает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разрезе ответственных за их хранение и (или) выдачу лиц по видам бланков, мест хранения в условной оценке: один бланк, один рубль, а в случаях, установленных учреждением в рамках формирования учетной политики: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по стоимости приобретения бланков. проверка фактического наличия бланков строгой отчетности осуществляется одновременно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с инвентаризацией денежных средств и документов, находящихся в кассе учреждения. Проверка производится по видам бланков с учетом начальных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конечных номеров тех или иных бланков,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учета. Выявленные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излишки бланков строгой отчетности подлежат принятию к учету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счете 03. При выявлении недостачи бланков, одновременно со списанием недостающих бланков с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учета на балансе учреждения отражается задолженность лица, виновного в этой недостаче.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04 «Задолженность неплатежеспособных дебиторов» –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счет, принимает решение о списании с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счета либо о восстановлении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ее на балансовом учете при возобновлении процедуры взыскания, готовит предложения для руководителя об урегулировании дебиторской задолженности. Целью инвентаризации является подтверждение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их фактического наличия и сопоставления с данными бухгалтерского учета. </w:t>
      </w:r>
    </w:p>
    <w:p w:rsidR="00C95BF8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lastRenderedPageBreak/>
        <w:t xml:space="preserve">– 07 «Награды, призы, кубки и ценные подарки, сувениры» Инвентаризационная комиссия проверяет документальное обоснование поступления и выбытия материальных ценностей, приобретенных в целях их вручения (награждения) – отгрузочные документы, оформленные надлежащим образом: 1) накладные, подтверждающие поставку материальных ценностей;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2) товарные чеки, приложенные подотчетными лицами к авансовому отчету,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случае покупки сувениров, наград, призов за наличный расчет. </w:t>
      </w:r>
    </w:p>
    <w:p w:rsidR="00AE7EFD" w:rsidRPr="00AE7EFD" w:rsidRDefault="00AE7EFD" w:rsidP="00C95B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Основанием для вручения материальных ценностей являются следующие документы: 1) распоряжение о вручении; 2) ведомости выдачи материальных ценностей; 3) акты о списании.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09 «Запасные части к транспортным средствам, выданные взамен изношенных». Инвентаризационная комиссия проверяет документы, подтверждающие выбытие ценностей с балансового счета в целях ремонта транспортных средств, а также ведение аналитического учета в разрезе транспортных средств, ответственных лиц, по видам материальных ценностей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их количеству.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10 «Обеспечение исполнения обязательств». На счете учитывается имущество, полученное в качестве обеспечения обязательств, а также иные виды обеспечения исполнения обязательств (поручительство, банковская гарантия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т.д.). Основанием для отражения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счете являются оправдательные первичные учетные документы (в сумме обязательства,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обеспечение которого получено имущество). Инвентаризационная комиссия проверяет документальное оформление операций и организацию аналитического учета в разрезе обязательств по видам имущества (обеспечения), его количеству, местам его хранения, а также обязательствам,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обеспечение которых оно поступило.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21 «Основные средства в эксплуатации». На счете учитываются малоценные основные средства, стоимостью до 10 000 руб.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 основных средств, их фактическое наличие по местах хранения в разрезе МОЛ.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>– 23 «Периодические издания для пользования». На счете учитываются периодические издания (газеты, журналы и т.п.), приобретаемые учреждением для комплектации библиотечного фонда. Инвентаризационная комиссия проверяет фактическое наличие периодических изданий.</w:t>
      </w:r>
    </w:p>
    <w:p w:rsid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27 «Материальные ценности, выданные в личное пользование работникам (сотрудникам)». На счете ведется учет имущества, выданного учреждением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>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 Инвентаризационная комиссия проверяет фактическое наличие имущества в разрезе пользователей, мест его нахождения, по видам, его количеству и стоимости.</w:t>
      </w:r>
    </w:p>
    <w:p w:rsidR="00C95BF8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95BF8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95BF8" w:rsidRPr="00AE7EFD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98">
        <w:rPr>
          <w:rFonts w:ascii="Times New Roman" w:hAnsi="Times New Roman" w:cs="Times New Roman"/>
          <w:b/>
          <w:sz w:val="28"/>
          <w:szCs w:val="28"/>
        </w:rPr>
        <w:lastRenderedPageBreak/>
        <w:t>4. Оформление результатов инвентаризации</w:t>
      </w:r>
    </w:p>
    <w:p w:rsidR="00C95BF8" w:rsidRPr="005A7212" w:rsidRDefault="00C95BF8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4.1. Правильно оформленные инвентаризационной комиссией и подписанные всеми ее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членами и ответственными лицами инвентаризационные описи (сличительные ведомости),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акты о результатах инвентаризации передаются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бухгалтерию для выверки данных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фактического наличия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585298">
        <w:rPr>
          <w:rFonts w:ascii="Times New Roman" w:hAnsi="Times New Roman" w:cs="Times New Roman"/>
          <w:sz w:val="28"/>
          <w:szCs w:val="28"/>
        </w:rPr>
        <w:t xml:space="preserve">-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и других ценностей, финансовых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активов и обязательств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данными бухгалтерского учета.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4.2. Выявленные расхождения в инвентаризационных описях (сличительных ведомостях)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обобщаются в ведомости расхождений по результатам инвентаризации (ф. 0504092). В этом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случае она будет приложением к акту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о результатах инвентаризации (ф. 0504835). Акт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подписывается всеми членами инвентаризационной комиссии и утверждается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4.3. После завершения инвентаризации выявленные расхождения (неучтенные объекты,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недостачи) должны быть отражены в бухгалтерском учете,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при необходимости материалы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направлены в судебные органы для предъявления гражданского иска.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4.4. Результаты инвентаризации отражаются в бухгалтерском учете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отчетности того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месяца, в котором была закончена инвентаризация,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по годовой инвентаризации – в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годовом бухгалтерском отчете.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4.5. На суммы выявленных излишков, недостач основных средств, нематериальных активов,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запасов инвентаризационная комиссия требует объяснение с ответственного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лица по причинам расхождений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данными бухгалтерского учета. Приказом руководителя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создается комиссия для проведения внутреннего служебного расследования для выявления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виновного лица, допустившего возникновение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доверенных ему</w:t>
      </w:r>
    </w:p>
    <w:p w:rsidR="00CF0101" w:rsidRPr="005A59EC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5A59EC" w:rsidRPr="005A59EC" w:rsidRDefault="005A59EC" w:rsidP="005A59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A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5A59EC" w:rsidRPr="005A59EC" w:rsidRDefault="005A59EC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C5" w:rsidRDefault="003D24C5" w:rsidP="0058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98">
        <w:rPr>
          <w:rFonts w:ascii="Times New Roman" w:hAnsi="Times New Roman" w:cs="Times New Roman"/>
          <w:b/>
          <w:sz w:val="28"/>
          <w:szCs w:val="28"/>
        </w:rPr>
        <w:t>5. Особенности</w:t>
      </w:r>
      <w:r w:rsidRPr="0058529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85298">
        <w:rPr>
          <w:rFonts w:ascii="Times New Roman" w:hAnsi="Times New Roman" w:cs="Times New Roman"/>
          <w:b/>
          <w:sz w:val="28"/>
          <w:szCs w:val="28"/>
        </w:rPr>
        <w:t xml:space="preserve">инвентаризации имущества с помощью видео- и </w:t>
      </w:r>
      <w:proofErr w:type="spellStart"/>
      <w:r w:rsidRPr="00585298">
        <w:rPr>
          <w:rFonts w:ascii="Times New Roman" w:hAnsi="Times New Roman" w:cs="Times New Roman"/>
          <w:b/>
          <w:sz w:val="28"/>
          <w:szCs w:val="28"/>
        </w:rPr>
        <w:t>фотофиксации</w:t>
      </w:r>
      <w:proofErr w:type="spellEnd"/>
    </w:p>
    <w:p w:rsidR="00585298" w:rsidRPr="00585298" w:rsidRDefault="00585298" w:rsidP="0058529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Pr="005A7212">
        <w:rPr>
          <w:rFonts w:ascii="Times New Roman" w:hAnsi="Times New Roman" w:cs="Times New Roman"/>
          <w:sz w:val="28"/>
          <w:szCs w:val="28"/>
        </w:rPr>
        <w:t xml:space="preserve">.1. Инвентаризация имущества производится по его местонахождению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разрезе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ответственных лиц. Инвентаризируется имущество в структурных подразделениях учреждения, филиале, складе  с  помощью видео-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5.2. Записывать видео инвентаризации может любой член комиссии на телефон с камерой. Он же производит фотосъемку имущества по местам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его хранения. Председатель обеспечивает, чтобы запись была качественной,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кадр попадало все, что происходит в помещении, и вся процедура инвентаризации</w:t>
      </w:r>
      <w:r w:rsidRPr="005A7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целиком, включая опечатывание помещений по окончании инвентаризации, если оно проводится.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в инвентаризационных описях с помощью программы для общения в сети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по окончании инвентаризации передаются в электронный архив.</w:t>
      </w:r>
    </w:p>
    <w:p w:rsidR="00CF0101" w:rsidRPr="005A7212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CE" w:rsidRPr="005A7212" w:rsidRDefault="00585298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E37C9" w:rsidRPr="005A7212">
        <w:rPr>
          <w:rFonts w:ascii="Times New Roman" w:hAnsi="Times New Roman" w:cs="Times New Roman"/>
          <w:b/>
          <w:bCs/>
          <w:sz w:val="28"/>
          <w:szCs w:val="28"/>
        </w:rPr>
        <w:t>График проведения инвентаризации</w:t>
      </w:r>
    </w:p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A7212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5A7212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39"/>
        <w:gridCol w:w="4027"/>
      </w:tblGrid>
      <w:tr w:rsidR="00727E96" w:rsidRPr="00727E96" w:rsidTr="00A145E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Периодичность и сроки проведения инвентаризации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проведения инвентаризации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"/document/10103513/entry/31"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3.1 - 3.7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7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7.2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Приказа Минкультуры России от 08.10.2012 N 1077;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"http://internet.garant.ru/document?id=71482774&amp;sub=1027"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27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231н)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9" w:anchor="/document/10103513/entry/3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3.8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</w:rPr>
                <w:t>Методические рекомендации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1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Минимущества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Минпромнауки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Минюста России от 22.05.2002 N 1272-р/Р-8/149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hyperlink r:id="rId12" w:anchor="/document/10103513/entry/39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3.9</w:t>
              </w:r>
            </w:hyperlink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"/document/10103513/entry/315"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3.15 - 3.26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"http://internet.garant.ru/document?id=71482774&amp;sub=1027"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27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13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Инструкции N 231н;- </w:t>
            </w:r>
            <w:hyperlink r:id="rId14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ст. 38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08.01.1998 N 3-ФЗ «О наркотических средствах и психотропных веществах»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3.27 - 3.35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"/document/10103513/entry/339"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3.39 - 3.43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17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Положе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об осуществлении наличных денежных расчетов и (или) расчетов с использованием платежных карт без применения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контрольно-кассовой техники, утвержденного </w:t>
            </w:r>
            <w:hyperlink r:id="rId16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Правительства РФ от 06.05.2008 N 359;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письмо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Минкультуры РФ от 15.07.2009 N 29-01-39/04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Расчеты, обязательства, в том числе: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0 205 00 000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"Расчеты по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доходам";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0 206 00 000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выданным авансам";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0 208 00 000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с подотчетными лицами";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1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0 209 00 000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ущербу имуществу и иным доходам";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2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0 210 00 000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"Прочие расчеты с дебиторами";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3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0 302 00 000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принятым обязательствам";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4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0 303 00 000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платежам в бюджеты";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0 304 00 000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(на 01 октября или 01 декабря)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"/document/10103513/entry/344"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3.44 - 3.48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r:id="rId26" w:history="1">
              <w:proofErr w:type="spellStart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пп</w:t>
              </w:r>
              <w:proofErr w:type="spellEnd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 5.1 п. 1 ст. 21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proofErr w:type="spellStart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абз</w:t>
              </w:r>
              <w:proofErr w:type="spellEnd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 2 п. 3 ст. 78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 РФ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"/document/10103513/entry/349"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3.49 - 3.55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руководителя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sectPr w:rsidR="001E2154" w:rsidRPr="005A7212" w:rsidSect="005A721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707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DB" w:rsidRDefault="001B4DDB" w:rsidP="007C5ED3">
      <w:r>
        <w:separator/>
      </w:r>
    </w:p>
  </w:endnote>
  <w:endnote w:type="continuationSeparator" w:id="0">
    <w:p w:rsidR="001B4DDB" w:rsidRDefault="001B4DDB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DB" w:rsidRDefault="001B4DDB" w:rsidP="007C5ED3">
      <w:r>
        <w:separator/>
      </w:r>
    </w:p>
  </w:footnote>
  <w:footnote w:type="continuationSeparator" w:id="0">
    <w:p w:rsidR="001B4DDB" w:rsidRDefault="001B4DDB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474F4"/>
    <w:multiLevelType w:val="multilevel"/>
    <w:tmpl w:val="97D2D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B4DDB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2F2BF0"/>
    <w:rsid w:val="003110E9"/>
    <w:rsid w:val="003152D8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85298"/>
    <w:rsid w:val="005A3DF4"/>
    <w:rsid w:val="005A5640"/>
    <w:rsid w:val="005A59EC"/>
    <w:rsid w:val="005A7212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0F65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27E96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7655A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1B60"/>
    <w:rsid w:val="00A435A0"/>
    <w:rsid w:val="00A512AA"/>
    <w:rsid w:val="00A5360F"/>
    <w:rsid w:val="00A725B2"/>
    <w:rsid w:val="00A8024C"/>
    <w:rsid w:val="00A83101"/>
    <w:rsid w:val="00A85072"/>
    <w:rsid w:val="00AB004C"/>
    <w:rsid w:val="00AB1C4D"/>
    <w:rsid w:val="00AB676E"/>
    <w:rsid w:val="00AC003F"/>
    <w:rsid w:val="00AC018F"/>
    <w:rsid w:val="00AC7DAC"/>
    <w:rsid w:val="00AC7F21"/>
    <w:rsid w:val="00AE7EFD"/>
    <w:rsid w:val="00AF1FC8"/>
    <w:rsid w:val="00B004B2"/>
    <w:rsid w:val="00B03BD7"/>
    <w:rsid w:val="00B106F1"/>
    <w:rsid w:val="00B15A71"/>
    <w:rsid w:val="00B211F0"/>
    <w:rsid w:val="00B27682"/>
    <w:rsid w:val="00B342C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61B23"/>
    <w:rsid w:val="00C837DA"/>
    <w:rsid w:val="00C95BF8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0673E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33B54"/>
    <w:rsid w:val="00F5250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2EAE9"/>
  <w15:docId w15:val="{3E4F2A04-D10E-4C32-BD77-CE027393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82774&amp;sub=1040" TargetMode="External"/><Relationship Id="rId13" Type="http://schemas.openxmlformats.org/officeDocument/2006/relationships/hyperlink" Target="http://internet.garant.ru/document?id=71482774&amp;sub=1040" TargetMode="External"/><Relationship Id="rId18" Type="http://schemas.openxmlformats.org/officeDocument/2006/relationships/hyperlink" Target="http://internet.garant.ru/document?id=12080849&amp;sub=20500" TargetMode="External"/><Relationship Id="rId26" Type="http://schemas.openxmlformats.org/officeDocument/2006/relationships/hyperlink" Target="http://internet.garant.ru/document?id=10800200&amp;sub=211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80849&amp;sub=209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?id=70280800&amp;sub=72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document?id=6638329&amp;sub=0" TargetMode="External"/><Relationship Id="rId25" Type="http://schemas.openxmlformats.org/officeDocument/2006/relationships/hyperlink" Target="http://internet.garant.ru/document?id=12080849&amp;sub=30400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0266&amp;sub=0" TargetMode="External"/><Relationship Id="rId20" Type="http://schemas.openxmlformats.org/officeDocument/2006/relationships/hyperlink" Target="http://internet.garant.ru/document?id=12080849&amp;sub=2080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29923&amp;sub=0" TargetMode="External"/><Relationship Id="rId24" Type="http://schemas.openxmlformats.org/officeDocument/2006/relationships/hyperlink" Target="http://internet.garant.ru/document?id=12080849&amp;sub=30300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60266&amp;sub=1017" TargetMode="External"/><Relationship Id="rId23" Type="http://schemas.openxmlformats.org/officeDocument/2006/relationships/hyperlink" Target="http://internet.garant.ru/document?id=12080849&amp;sub=302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?id=12029923&amp;sub=10000" TargetMode="External"/><Relationship Id="rId19" Type="http://schemas.openxmlformats.org/officeDocument/2006/relationships/hyperlink" Target="http://internet.garant.ru/document?id=12080849&amp;sub=20600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2007402&amp;sub=38" TargetMode="External"/><Relationship Id="rId22" Type="http://schemas.openxmlformats.org/officeDocument/2006/relationships/hyperlink" Target="http://internet.garant.ru/document?id=12080849&amp;sub=21005" TargetMode="External"/><Relationship Id="rId27" Type="http://schemas.openxmlformats.org/officeDocument/2006/relationships/hyperlink" Target="http://internet.garant.ru/document?id=10800200&amp;sub=7803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5605</Words>
  <Characters>31949</Characters>
  <Application>Microsoft Office Word</Application>
  <DocSecurity>0</DocSecurity>
  <PresentationFormat>g5gx6_</PresentationFormat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dc:description>Подготовлено экспертами Актион-МЦФЭР</dc:description>
  <cp:lastModifiedBy>Главный Бухгалтер</cp:lastModifiedBy>
  <cp:revision>8</cp:revision>
  <dcterms:created xsi:type="dcterms:W3CDTF">2020-10-26T05:51:00Z</dcterms:created>
  <dcterms:modified xsi:type="dcterms:W3CDTF">2021-03-22T06:44:00Z</dcterms:modified>
</cp:coreProperties>
</file>